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Совет директоров </w:t>
      </w:r>
      <w:r w:rsidR="00111E53">
        <w:rPr>
          <w:sz w:val="22"/>
          <w:szCs w:val="22"/>
        </w:rPr>
        <w:t xml:space="preserve">АО «Омский каучук» (далее – «Общество») </w:t>
      </w:r>
      <w:r w:rsidRPr="00E7298C">
        <w:rPr>
          <w:sz w:val="22"/>
          <w:szCs w:val="22"/>
        </w:rPr>
        <w:t xml:space="preserve">извещает Вас о том, что </w:t>
      </w:r>
      <w:r w:rsidR="00111E53">
        <w:rPr>
          <w:b/>
          <w:sz w:val="22"/>
          <w:szCs w:val="22"/>
        </w:rPr>
        <w:t>09</w:t>
      </w:r>
      <w:r w:rsidR="007B761F">
        <w:rPr>
          <w:b/>
          <w:sz w:val="22"/>
          <w:szCs w:val="22"/>
        </w:rPr>
        <w:t xml:space="preserve"> </w:t>
      </w:r>
      <w:r w:rsidR="00111E53">
        <w:rPr>
          <w:b/>
          <w:sz w:val="22"/>
          <w:szCs w:val="22"/>
        </w:rPr>
        <w:t xml:space="preserve">января </w:t>
      </w:r>
      <w:r w:rsidRPr="00E7298C">
        <w:rPr>
          <w:b/>
          <w:sz w:val="22"/>
          <w:szCs w:val="22"/>
        </w:rPr>
        <w:t>20</w:t>
      </w:r>
      <w:r w:rsidR="00203D65" w:rsidRPr="00E7298C">
        <w:rPr>
          <w:b/>
          <w:sz w:val="22"/>
          <w:szCs w:val="22"/>
        </w:rPr>
        <w:t>2</w:t>
      </w:r>
      <w:r w:rsidR="00111E53">
        <w:rPr>
          <w:b/>
          <w:sz w:val="22"/>
          <w:szCs w:val="22"/>
        </w:rPr>
        <w:t>3</w:t>
      </w:r>
      <w:r w:rsidR="00C87235" w:rsidRPr="00E7298C">
        <w:rPr>
          <w:b/>
          <w:sz w:val="22"/>
          <w:szCs w:val="22"/>
        </w:rPr>
        <w:t xml:space="preserve"> </w:t>
      </w:r>
      <w:r w:rsidRPr="00E7298C">
        <w:rPr>
          <w:b/>
          <w:sz w:val="22"/>
          <w:szCs w:val="22"/>
        </w:rPr>
        <w:t xml:space="preserve"> года</w:t>
      </w:r>
      <w:r w:rsidRPr="00E7298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E7298C">
        <w:rPr>
          <w:b/>
          <w:sz w:val="22"/>
          <w:szCs w:val="22"/>
        </w:rPr>
        <w:t>заочного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11E53">
        <w:rPr>
          <w:b/>
          <w:sz w:val="22"/>
          <w:szCs w:val="22"/>
        </w:rPr>
        <w:t>15</w:t>
      </w:r>
      <w:r w:rsidR="007B761F">
        <w:rPr>
          <w:b/>
          <w:sz w:val="22"/>
          <w:szCs w:val="22"/>
        </w:rPr>
        <w:t xml:space="preserve"> </w:t>
      </w:r>
      <w:r w:rsidR="00111E53">
        <w:rPr>
          <w:b/>
          <w:sz w:val="22"/>
          <w:szCs w:val="22"/>
        </w:rPr>
        <w:t>декабря</w:t>
      </w:r>
      <w:r w:rsidRPr="00E7298C">
        <w:rPr>
          <w:b/>
          <w:sz w:val="22"/>
          <w:szCs w:val="22"/>
        </w:rPr>
        <w:t xml:space="preserve"> 20</w:t>
      </w:r>
      <w:r w:rsidR="00203D65" w:rsidRPr="00E7298C">
        <w:rPr>
          <w:b/>
          <w:sz w:val="22"/>
          <w:szCs w:val="22"/>
        </w:rPr>
        <w:t>2</w:t>
      </w:r>
      <w:r w:rsidR="00C87235" w:rsidRPr="00E7298C">
        <w:rPr>
          <w:b/>
          <w:sz w:val="22"/>
          <w:szCs w:val="22"/>
        </w:rPr>
        <w:t>2</w:t>
      </w:r>
      <w:r w:rsidRPr="00E7298C">
        <w:rPr>
          <w:b/>
          <w:sz w:val="22"/>
          <w:szCs w:val="22"/>
        </w:rPr>
        <w:t>года.</w:t>
      </w:r>
    </w:p>
    <w:p w:rsidR="00111E53" w:rsidRDefault="00111E53" w:rsidP="00111E53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Прием заполненных бюллетеней осуществляется </w:t>
      </w:r>
      <w:r w:rsidRPr="00E7298C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E7298C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 xml:space="preserve">09 января 2023 </w:t>
      </w:r>
      <w:r w:rsidRPr="00E7298C">
        <w:rPr>
          <w:b/>
          <w:sz w:val="22"/>
          <w:szCs w:val="22"/>
        </w:rPr>
        <w:t>года по адресу: 644035, г. Омск, пр. Губкина, 30.</w:t>
      </w:r>
      <w:r>
        <w:rPr>
          <w:b/>
          <w:sz w:val="22"/>
          <w:szCs w:val="22"/>
        </w:rPr>
        <w:t xml:space="preserve"> </w:t>
      </w:r>
      <w:r w:rsidRPr="00E7298C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E7298C">
        <w:rPr>
          <w:b/>
          <w:sz w:val="22"/>
          <w:szCs w:val="22"/>
        </w:rPr>
        <w:t>с 09-00 до 17-00 часов либо отправить почтой по адресу: 644035, г. Омск, пр. Губкина, 30.</w:t>
      </w:r>
      <w:r>
        <w:rPr>
          <w:b/>
          <w:sz w:val="22"/>
          <w:szCs w:val="22"/>
        </w:rPr>
        <w:t xml:space="preserve">, либо </w:t>
      </w:r>
      <w:r w:rsidRPr="00111E53">
        <w:rPr>
          <w:b/>
          <w:sz w:val="22"/>
          <w:szCs w:val="22"/>
        </w:rPr>
        <w:t>регистратору -</w:t>
      </w:r>
      <w:r>
        <w:rPr>
          <w:b/>
          <w:sz w:val="22"/>
          <w:szCs w:val="22"/>
        </w:rPr>
        <w:t xml:space="preserve"> </w:t>
      </w:r>
      <w:r w:rsidRPr="00111E53">
        <w:rPr>
          <w:b/>
          <w:sz w:val="22"/>
          <w:szCs w:val="22"/>
        </w:rPr>
        <w:t>АО «НРК-Р.О.С.Т.».</w:t>
      </w:r>
      <w:r w:rsidRPr="00E7298C">
        <w:rPr>
          <w:b/>
          <w:sz w:val="22"/>
          <w:szCs w:val="22"/>
        </w:rPr>
        <w:t xml:space="preserve"> </w:t>
      </w:r>
    </w:p>
    <w:p w:rsidR="00111E53" w:rsidRPr="00E7298C" w:rsidRDefault="00111E53" w:rsidP="00111E53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Дополнительную и</w:t>
      </w:r>
      <w:r w:rsidRPr="00E7298C">
        <w:rPr>
          <w:b/>
          <w:sz w:val="22"/>
          <w:szCs w:val="22"/>
        </w:rPr>
        <w:t>нформацию можно получить по телефону: 8 (3812) 69-70-18</w:t>
      </w:r>
    </w:p>
    <w:p w:rsidR="00111E53" w:rsidRDefault="00111E53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</w:p>
    <w:p w:rsidR="00742335" w:rsidRPr="00E7298C" w:rsidRDefault="00111E53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Б</w:t>
      </w:r>
      <w:r w:rsidR="00612C56" w:rsidRPr="00E7298C">
        <w:rPr>
          <w:i/>
          <w:iCs/>
          <w:sz w:val="22"/>
          <w:szCs w:val="22"/>
        </w:rPr>
        <w:t xml:space="preserve">юллетени для голосования, заполненные в бумажной форме должны поступить в Общество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</w:t>
      </w:r>
      <w:r w:rsidR="00111E53">
        <w:rPr>
          <w:i/>
          <w:iCs/>
          <w:sz w:val="22"/>
          <w:szCs w:val="22"/>
        </w:rPr>
        <w:t xml:space="preserve">- </w:t>
      </w:r>
      <w:r w:rsidRPr="00E7298C">
        <w:rPr>
          <w:i/>
          <w:iCs/>
          <w:sz w:val="22"/>
          <w:szCs w:val="22"/>
        </w:rPr>
        <w:t xml:space="preserve">АО «НРК-Р.О.С.Т.» также не позднее </w:t>
      </w:r>
      <w:r w:rsidR="00111E53">
        <w:rPr>
          <w:bCs/>
          <w:i/>
          <w:iCs/>
          <w:sz w:val="22"/>
          <w:szCs w:val="22"/>
        </w:rPr>
        <w:t>09</w:t>
      </w:r>
      <w:r w:rsidR="000D6349" w:rsidRPr="00E7298C">
        <w:rPr>
          <w:bCs/>
          <w:i/>
          <w:iCs/>
          <w:sz w:val="22"/>
          <w:szCs w:val="22"/>
        </w:rPr>
        <w:t xml:space="preserve"> </w:t>
      </w:r>
      <w:r w:rsidR="00111E53">
        <w:rPr>
          <w:bCs/>
          <w:i/>
          <w:iCs/>
          <w:sz w:val="22"/>
          <w:szCs w:val="22"/>
        </w:rPr>
        <w:t xml:space="preserve">января </w:t>
      </w:r>
      <w:r w:rsidR="00203D65" w:rsidRPr="00E7298C">
        <w:rPr>
          <w:i/>
          <w:iCs/>
          <w:sz w:val="22"/>
          <w:szCs w:val="22"/>
        </w:rPr>
        <w:t>202</w:t>
      </w:r>
      <w:r w:rsidR="00111E53">
        <w:rPr>
          <w:i/>
          <w:iCs/>
          <w:sz w:val="22"/>
          <w:szCs w:val="22"/>
        </w:rPr>
        <w:t xml:space="preserve">3 </w:t>
      </w:r>
      <w:r w:rsidRPr="00E7298C">
        <w:rPr>
          <w:i/>
          <w:iCs/>
          <w:sz w:val="22"/>
          <w:szCs w:val="22"/>
        </w:rPr>
        <w:t xml:space="preserve">года.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111E53" w:rsidRPr="00111E53" w:rsidRDefault="00111E53" w:rsidP="00111E53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rPr>
          <w:i/>
          <w:iCs/>
          <w:sz w:val="22"/>
          <w:szCs w:val="22"/>
        </w:rPr>
      </w:pPr>
      <w:proofErr w:type="gramStart"/>
      <w:r w:rsidRPr="00111E53">
        <w:rPr>
          <w:i/>
          <w:iCs/>
          <w:sz w:val="22"/>
          <w:szCs w:val="22"/>
        </w:rPr>
        <w:t>О последующем одобрении заключенного между АО «Омский каучук» и Банком ГПБ (АО) Дополнительного соглашения № 2 от 17 октября 2022 г. к Кредитному соглашению об открытии кредитной линии №2922-015-31056 от 25.05.2022 г., являющегося крупной сделкой (с учетом взаимосвязанности с Договором об открытии кредитной линии №2918-146-31056 от 21.12.2018, Договором об открытии кредитной линии №2920-051-31056 от 25.08.2020, Договором об открытии кредитной линии №2920-052-31056</w:t>
      </w:r>
      <w:proofErr w:type="gramEnd"/>
      <w:r w:rsidRPr="00111E53">
        <w:rPr>
          <w:i/>
          <w:iCs/>
          <w:sz w:val="22"/>
          <w:szCs w:val="22"/>
        </w:rPr>
        <w:t xml:space="preserve"> от 25.08.2020) стоимость, которой составляет более 50 % балансовой стоимости активов Общества, а также сделкой, относящейся к компетенции общего собрания акционеров на основании п.п. 4 п. 19.2.4., п. 19.5 Устава Общества.</w:t>
      </w:r>
    </w:p>
    <w:p w:rsidR="00111E53" w:rsidRPr="00111E53" w:rsidRDefault="00111E53" w:rsidP="00111E53">
      <w:pPr>
        <w:pStyle w:val="ae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0"/>
        <w:rPr>
          <w:i/>
          <w:iCs/>
          <w:sz w:val="22"/>
          <w:szCs w:val="22"/>
        </w:rPr>
      </w:pPr>
      <w:proofErr w:type="gramStart"/>
      <w:r w:rsidRPr="00111E53">
        <w:rPr>
          <w:i/>
          <w:iCs/>
          <w:sz w:val="22"/>
          <w:szCs w:val="22"/>
        </w:rPr>
        <w:t xml:space="preserve">О предоставлении согласия на совершение между АО «Омский каучук» и Банком ГПБ (АО) </w:t>
      </w:r>
      <w:bookmarkStart w:id="0" w:name="_Toc246326486"/>
      <w:bookmarkStart w:id="1" w:name="_Toc293578566"/>
      <w:bookmarkStart w:id="2" w:name="_Toc293578890"/>
      <w:bookmarkStart w:id="3" w:name="_Toc328737197"/>
      <w:r w:rsidRPr="00111E53">
        <w:rPr>
          <w:i/>
          <w:iCs/>
          <w:sz w:val="22"/>
          <w:szCs w:val="22"/>
        </w:rPr>
        <w:t>Дополнительного соглашения № 1 к Договору залога имущественных прав (прав требования) №2918-146-31056/1/</w:t>
      </w:r>
      <w:proofErr w:type="spellStart"/>
      <w:r w:rsidRPr="00111E53">
        <w:rPr>
          <w:i/>
          <w:iCs/>
          <w:sz w:val="22"/>
          <w:szCs w:val="22"/>
        </w:rPr>
        <w:t>ип</w:t>
      </w:r>
      <w:proofErr w:type="spellEnd"/>
      <w:r w:rsidRPr="00111E53">
        <w:rPr>
          <w:i/>
          <w:iCs/>
          <w:sz w:val="22"/>
          <w:szCs w:val="22"/>
        </w:rPr>
        <w:t xml:space="preserve"> от «25» марта 2021 года</w:t>
      </w:r>
      <w:bookmarkEnd w:id="0"/>
      <w:bookmarkEnd w:id="1"/>
      <w:bookmarkEnd w:id="2"/>
      <w:bookmarkEnd w:id="3"/>
      <w:r w:rsidRPr="00111E53">
        <w:rPr>
          <w:i/>
          <w:iCs/>
          <w:sz w:val="22"/>
          <w:szCs w:val="22"/>
        </w:rPr>
        <w:t xml:space="preserve"> в обеспечение исполнения обязательств АО «Омский каучук» перед Банком ГПБ (АО) по Договору об открытии кредитной линии от «21» декабря 2018 года № 2918-146-31056 с учетом всех изменений и дополнений</w:t>
      </w:r>
      <w:proofErr w:type="gramEnd"/>
      <w:r w:rsidRPr="00111E53">
        <w:rPr>
          <w:i/>
          <w:iCs/>
          <w:sz w:val="22"/>
          <w:szCs w:val="22"/>
        </w:rPr>
        <w:t xml:space="preserve"> к нему, заключенным между Банком ГПБ (АО) и АО «Омский каучук», являющегося крупной сделкой (взаимосвязанной сделкой), предметом которой является имущество, стоимость которого составляет более 50 % от балансовой стоимости активов Общества, а также сделкой, относящейся к компетенции общего собрания акционеров на основании п.п. 5 п. 19.2.4., п. 19.5 Устава Общества.</w:t>
      </w:r>
    </w:p>
    <w:p w:rsidR="00111E53" w:rsidRDefault="00111E53" w:rsidP="00E7298C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513854" w:rsidRPr="00E7298C" w:rsidRDefault="00C87235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</w:t>
      </w:r>
      <w:r w:rsidRPr="007B761F">
        <w:rPr>
          <w:bCs/>
          <w:sz w:val="22"/>
          <w:szCs w:val="22"/>
        </w:rPr>
        <w:t>ознакомиться по адресу: 644035, г. Омск, пр. Губкина, 30, кабинет 313 с 9-00 до 17-00 часов по рабочим дням с «</w:t>
      </w:r>
      <w:r w:rsidR="00111E53">
        <w:rPr>
          <w:bCs/>
          <w:sz w:val="22"/>
          <w:szCs w:val="22"/>
        </w:rPr>
        <w:t>20</w:t>
      </w:r>
      <w:r w:rsidRPr="007B761F">
        <w:rPr>
          <w:bCs/>
          <w:sz w:val="22"/>
          <w:szCs w:val="22"/>
        </w:rPr>
        <w:t xml:space="preserve">» </w:t>
      </w:r>
      <w:r w:rsidR="00111E53">
        <w:rPr>
          <w:bCs/>
          <w:sz w:val="22"/>
          <w:szCs w:val="22"/>
        </w:rPr>
        <w:t>декабря</w:t>
      </w:r>
      <w:r w:rsidRPr="007B761F">
        <w:rPr>
          <w:bCs/>
          <w:sz w:val="22"/>
          <w:szCs w:val="22"/>
        </w:rPr>
        <w:t xml:space="preserve"> 2022 года по «</w:t>
      </w:r>
      <w:r w:rsidR="00111E53">
        <w:rPr>
          <w:bCs/>
          <w:sz w:val="22"/>
          <w:szCs w:val="22"/>
        </w:rPr>
        <w:t>9</w:t>
      </w:r>
      <w:r w:rsidRPr="007B761F">
        <w:rPr>
          <w:bCs/>
          <w:sz w:val="22"/>
          <w:szCs w:val="22"/>
        </w:rPr>
        <w:t xml:space="preserve">» </w:t>
      </w:r>
      <w:r w:rsidR="00111E53">
        <w:rPr>
          <w:bCs/>
          <w:sz w:val="22"/>
          <w:szCs w:val="22"/>
        </w:rPr>
        <w:t>января</w:t>
      </w:r>
      <w:r w:rsidRPr="007B761F">
        <w:rPr>
          <w:bCs/>
          <w:sz w:val="22"/>
          <w:szCs w:val="22"/>
        </w:rPr>
        <w:t xml:space="preserve"> 202</w:t>
      </w:r>
      <w:r w:rsidR="00111E53">
        <w:rPr>
          <w:bCs/>
          <w:sz w:val="22"/>
          <w:szCs w:val="22"/>
        </w:rPr>
        <w:t>3</w:t>
      </w:r>
      <w:r w:rsidRPr="007B761F">
        <w:rPr>
          <w:bCs/>
          <w:sz w:val="22"/>
          <w:szCs w:val="22"/>
        </w:rPr>
        <w:t xml:space="preserve"> года включительно.</w:t>
      </w:r>
      <w:r w:rsidR="00513854" w:rsidRPr="00E7298C">
        <w:rPr>
          <w:sz w:val="22"/>
          <w:szCs w:val="22"/>
        </w:rPr>
        <w:tab/>
      </w:r>
    </w:p>
    <w:p w:rsidR="00125798" w:rsidRPr="00E7298C" w:rsidRDefault="00125798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298C">
        <w:rPr>
          <w:b/>
          <w:sz w:val="22"/>
          <w:szCs w:val="22"/>
        </w:rPr>
        <w:t>Обращаем Ваше внимание</w:t>
      </w:r>
      <w:r w:rsidRPr="00E7298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E7298C">
        <w:rPr>
          <w:b/>
          <w:sz w:val="22"/>
          <w:szCs w:val="22"/>
        </w:rPr>
        <w:t>о получении согласия на заключение крупных сделок</w:t>
      </w:r>
      <w:r w:rsidRPr="00E7298C">
        <w:rPr>
          <w:sz w:val="22"/>
          <w:szCs w:val="22"/>
        </w:rPr>
        <w:t xml:space="preserve">. В </w:t>
      </w:r>
      <w:r w:rsidRPr="00E7298C">
        <w:rPr>
          <w:sz w:val="22"/>
          <w:szCs w:val="22"/>
        </w:rPr>
        <w:lastRenderedPageBreak/>
        <w:t xml:space="preserve">соответствии со ст.75 Федерального закона от 26.12.1995 №208-ФЗ «Об акционерных обществах» (далее – ФЗ об АО) в случае </w:t>
      </w:r>
      <w:r w:rsidRPr="00E7298C">
        <w:rPr>
          <w:b/>
          <w:sz w:val="22"/>
          <w:szCs w:val="22"/>
        </w:rPr>
        <w:t>принятия</w:t>
      </w:r>
      <w:r w:rsidRPr="00E7298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E7298C">
        <w:rPr>
          <w:b/>
          <w:sz w:val="22"/>
          <w:szCs w:val="22"/>
        </w:rPr>
        <w:t xml:space="preserve">акционеры Общества, </w:t>
      </w:r>
      <w:r w:rsidRPr="00E7298C">
        <w:rPr>
          <w:b/>
          <w:bCs/>
          <w:sz w:val="22"/>
          <w:szCs w:val="22"/>
        </w:rPr>
        <w:t xml:space="preserve"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 требовать выкупа Обществом всех или части принадлежащих им акций </w:t>
      </w:r>
      <w:r w:rsidRPr="00E7298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DD430D">
        <w:rPr>
          <w:rFonts w:ascii="Times New Roman" w:hAnsi="Times New Roman"/>
        </w:rPr>
        <w:t>119</w:t>
      </w:r>
      <w:r w:rsidR="00C87235" w:rsidRPr="00E7298C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(</w:t>
      </w:r>
      <w:r w:rsidR="00DD430D">
        <w:rPr>
          <w:rFonts w:ascii="Times New Roman" w:hAnsi="Times New Roman"/>
        </w:rPr>
        <w:t>сто девятнадцать</w:t>
      </w:r>
      <w:r w:rsidR="00086DDA" w:rsidRPr="00E7298C">
        <w:rPr>
          <w:rFonts w:ascii="Times New Roman" w:hAnsi="Times New Roman"/>
        </w:rPr>
        <w:t>)</w:t>
      </w:r>
      <w:r w:rsidRPr="00E7298C">
        <w:rPr>
          <w:rFonts w:ascii="Times New Roman" w:hAnsi="Times New Roman"/>
        </w:rPr>
        <w:t xml:space="preserve"> рублей</w:t>
      </w:r>
      <w:r w:rsidR="00DD430D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E7298C" w:rsidRDefault="00125798" w:rsidP="00E7298C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298C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</w:t>
      </w:r>
      <w:r w:rsidRPr="007B761F">
        <w:rPr>
          <w:sz w:val="22"/>
          <w:szCs w:val="22"/>
        </w:rPr>
        <w:t>(</w:t>
      </w:r>
      <w:r w:rsidR="00111E53">
        <w:rPr>
          <w:sz w:val="22"/>
          <w:szCs w:val="22"/>
        </w:rPr>
        <w:t>15</w:t>
      </w:r>
      <w:proofErr w:type="gramEnd"/>
      <w:r w:rsidR="00CB67F4" w:rsidRPr="007B761F">
        <w:rPr>
          <w:sz w:val="22"/>
          <w:szCs w:val="22"/>
        </w:rPr>
        <w:t xml:space="preserve"> </w:t>
      </w:r>
      <w:r w:rsidR="00111E53">
        <w:rPr>
          <w:sz w:val="22"/>
          <w:szCs w:val="22"/>
        </w:rPr>
        <w:t>декабря</w:t>
      </w:r>
      <w:r w:rsidRPr="007B761F">
        <w:rPr>
          <w:sz w:val="22"/>
          <w:szCs w:val="22"/>
        </w:rPr>
        <w:t xml:space="preserve"> 20</w:t>
      </w:r>
      <w:r w:rsidR="00203D65" w:rsidRPr="007B761F">
        <w:rPr>
          <w:sz w:val="22"/>
          <w:szCs w:val="22"/>
        </w:rPr>
        <w:t>2</w:t>
      </w:r>
      <w:r w:rsidR="00C87235" w:rsidRPr="007B761F">
        <w:rPr>
          <w:sz w:val="22"/>
          <w:szCs w:val="22"/>
        </w:rPr>
        <w:t>2</w:t>
      </w:r>
      <w:r w:rsidRPr="007B761F">
        <w:rPr>
          <w:sz w:val="22"/>
          <w:szCs w:val="22"/>
        </w:rPr>
        <w:t xml:space="preserve"> года).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E7298C">
        <w:rPr>
          <w:rFonts w:ascii="Times New Roman" w:hAnsi="Times New Roman"/>
          <w:b/>
          <w:u w:val="single"/>
        </w:rPr>
        <w:t>ОБЩЕСТВОМ</w:t>
      </w:r>
      <w:proofErr w:type="gramEnd"/>
      <w:r w:rsidRPr="00E7298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соответствии с п.3 ст. 76 ФЗ об АО Требование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Место нахождения (для направления Требования и для вручения под роспись): 644007, Омская обл., г.Омск, ул.Фрунзе - угол Герцена, д.80/18, </w:t>
      </w:r>
      <w:proofErr w:type="spellStart"/>
      <w:r w:rsidRPr="00E7298C">
        <w:rPr>
          <w:rFonts w:ascii="Times New Roman" w:hAnsi="Times New Roman"/>
        </w:rPr>
        <w:t>оф</w:t>
      </w:r>
      <w:proofErr w:type="spellEnd"/>
      <w:r w:rsidRPr="00E7298C">
        <w:rPr>
          <w:rFonts w:ascii="Times New Roman" w:hAnsi="Times New Roman"/>
        </w:rPr>
        <w:t>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 xml:space="preserve">, город Москва, улица </w:t>
      </w:r>
      <w:proofErr w:type="spellStart"/>
      <w:r w:rsidRPr="00E7298C">
        <w:rPr>
          <w:rFonts w:ascii="Times New Roman" w:hAnsi="Times New Roman"/>
        </w:rPr>
        <w:t>Стромынка</w:t>
      </w:r>
      <w:proofErr w:type="spellEnd"/>
      <w:r w:rsidRPr="00E7298C">
        <w:rPr>
          <w:rFonts w:ascii="Times New Roman" w:hAnsi="Times New Roman"/>
        </w:rPr>
        <w:t>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E7298C">
        <w:rPr>
          <w:rFonts w:ascii="Times New Roman" w:hAnsi="Times New Roman"/>
        </w:rPr>
        <w:t>Стромынка</w:t>
      </w:r>
      <w:proofErr w:type="spellEnd"/>
      <w:r w:rsidR="007F507C" w:rsidRPr="00E7298C">
        <w:rPr>
          <w:rFonts w:ascii="Times New Roman" w:hAnsi="Times New Roman"/>
        </w:rPr>
        <w:t>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E7298C">
        <w:rPr>
          <w:rFonts w:ascii="Times New Roman" w:hAnsi="Times New Roman"/>
        </w:rPr>
        <w:t>rrost.ru</w:t>
      </w:r>
      <w:proofErr w:type="spellEnd"/>
      <w:r w:rsidRPr="00E7298C">
        <w:rPr>
          <w:rFonts w:ascii="Times New Roman" w:hAnsi="Times New Roman"/>
        </w:rPr>
        <w:t xml:space="preserve">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</w:t>
      </w:r>
      <w:proofErr w:type="gramStart"/>
      <w:r w:rsidRPr="007B761F">
        <w:rPr>
          <w:rFonts w:ascii="Times New Roman" w:hAnsi="Times New Roman"/>
          <w:bCs/>
        </w:rPr>
        <w:t>с даты принятия</w:t>
      </w:r>
      <w:proofErr w:type="gramEnd"/>
      <w:r w:rsidRPr="007B761F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7B761F">
        <w:rPr>
          <w:rFonts w:ascii="Times New Roman" w:hAnsi="Times New Roman"/>
          <w:b/>
          <w:bCs/>
        </w:rPr>
        <w:t xml:space="preserve">с </w:t>
      </w:r>
      <w:r w:rsidR="00111E53">
        <w:rPr>
          <w:rFonts w:ascii="Times New Roman" w:hAnsi="Times New Roman"/>
          <w:b/>
          <w:bCs/>
        </w:rPr>
        <w:t>10</w:t>
      </w:r>
      <w:r w:rsidRPr="007B761F">
        <w:rPr>
          <w:rFonts w:ascii="Times New Roman" w:hAnsi="Times New Roman"/>
          <w:b/>
          <w:bCs/>
        </w:rPr>
        <w:t>.</w:t>
      </w:r>
      <w:r w:rsidR="00E7298C" w:rsidRPr="007B761F">
        <w:rPr>
          <w:rFonts w:ascii="Times New Roman" w:hAnsi="Times New Roman"/>
          <w:b/>
          <w:bCs/>
        </w:rPr>
        <w:t>0</w:t>
      </w:r>
      <w:r w:rsidR="00111E53">
        <w:rPr>
          <w:rFonts w:ascii="Times New Roman" w:hAnsi="Times New Roman"/>
          <w:b/>
          <w:bCs/>
        </w:rPr>
        <w:t>1</w:t>
      </w:r>
      <w:r w:rsidRPr="007B761F">
        <w:rPr>
          <w:rFonts w:ascii="Times New Roman" w:hAnsi="Times New Roman"/>
          <w:b/>
          <w:bCs/>
        </w:rPr>
        <w:t>.202</w:t>
      </w:r>
      <w:r w:rsidR="00111E53">
        <w:rPr>
          <w:rFonts w:ascii="Times New Roman" w:hAnsi="Times New Roman"/>
          <w:b/>
          <w:bCs/>
        </w:rPr>
        <w:t xml:space="preserve">3 </w:t>
      </w:r>
      <w:r w:rsidR="00203D65" w:rsidRPr="007B761F">
        <w:rPr>
          <w:rFonts w:ascii="Times New Roman" w:hAnsi="Times New Roman"/>
          <w:b/>
          <w:bCs/>
        </w:rPr>
        <w:t xml:space="preserve">года </w:t>
      </w:r>
      <w:r w:rsidR="008C6563">
        <w:rPr>
          <w:rFonts w:ascii="Times New Roman" w:hAnsi="Times New Roman"/>
          <w:b/>
          <w:bCs/>
        </w:rPr>
        <w:t>по</w:t>
      </w:r>
      <w:r w:rsidRPr="007B761F">
        <w:rPr>
          <w:rFonts w:ascii="Times New Roman" w:hAnsi="Times New Roman"/>
          <w:b/>
          <w:bCs/>
        </w:rPr>
        <w:t xml:space="preserve"> </w:t>
      </w:r>
      <w:r w:rsidR="00111E53">
        <w:rPr>
          <w:rFonts w:ascii="Times New Roman" w:hAnsi="Times New Roman"/>
          <w:b/>
          <w:bCs/>
        </w:rPr>
        <w:t>27</w:t>
      </w:r>
      <w:r w:rsidR="000B0875" w:rsidRPr="007B761F">
        <w:rPr>
          <w:rFonts w:ascii="Times New Roman" w:hAnsi="Times New Roman"/>
          <w:b/>
          <w:bCs/>
        </w:rPr>
        <w:t>.</w:t>
      </w:r>
      <w:r w:rsidR="008C6563">
        <w:rPr>
          <w:rFonts w:ascii="Times New Roman" w:hAnsi="Times New Roman"/>
          <w:b/>
          <w:bCs/>
        </w:rPr>
        <w:t>02</w:t>
      </w:r>
      <w:r w:rsidR="000B0875" w:rsidRPr="007B761F">
        <w:rPr>
          <w:rFonts w:ascii="Times New Roman" w:hAnsi="Times New Roman"/>
          <w:b/>
          <w:bCs/>
        </w:rPr>
        <w:t>.202</w:t>
      </w:r>
      <w:r w:rsidR="008C6563">
        <w:rPr>
          <w:rFonts w:ascii="Times New Roman" w:hAnsi="Times New Roman"/>
          <w:b/>
          <w:bCs/>
        </w:rPr>
        <w:t>3</w:t>
      </w:r>
      <w:r w:rsidR="000B0875" w:rsidRPr="007B761F">
        <w:rPr>
          <w:rFonts w:ascii="Times New Roman" w:hAnsi="Times New Roman"/>
          <w:b/>
          <w:bCs/>
        </w:rPr>
        <w:t xml:space="preserve"> </w:t>
      </w:r>
      <w:r w:rsidR="00203D65" w:rsidRPr="007B761F">
        <w:rPr>
          <w:rFonts w:ascii="Times New Roman" w:hAnsi="Times New Roman"/>
          <w:b/>
          <w:bCs/>
        </w:rPr>
        <w:t>года</w:t>
      </w:r>
      <w:r w:rsidR="000D6349" w:rsidRPr="007B761F">
        <w:rPr>
          <w:rFonts w:ascii="Times New Roman" w:hAnsi="Times New Roman"/>
          <w:b/>
          <w:bCs/>
        </w:rPr>
        <w:t>.</w:t>
      </w:r>
      <w:r w:rsidR="007B761F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 случае,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lastRenderedPageBreak/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>ионеров права 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г.Омск,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CB944" w15:done="0"/>
  <w15:commentEx w15:paraId="49784A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veevae">
    <w15:presenceInfo w15:providerId="None" w15:userId="matveev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11E53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56DB0"/>
    <w:rsid w:val="003738E3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51CFF"/>
    <w:rsid w:val="008B68EE"/>
    <w:rsid w:val="008C6563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B25EF"/>
    <w:rsid w:val="00CB67F4"/>
    <w:rsid w:val="00CD4D4F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586-45F0-49B0-B2E8-53EC646C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92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7</cp:revision>
  <cp:lastPrinted>2022-08-11T07:47:00Z</cp:lastPrinted>
  <dcterms:created xsi:type="dcterms:W3CDTF">2022-08-11T07:34:00Z</dcterms:created>
  <dcterms:modified xsi:type="dcterms:W3CDTF">2022-11-25T05:20:00Z</dcterms:modified>
</cp:coreProperties>
</file>